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Style w:val="Ninguno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page">
              <wp:posOffset>623443</wp:posOffset>
            </wp:positionV>
            <wp:extent cx="2175870" cy="12239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 i vetermed.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i vetermed.001.jpeg" descr="logo i vetermed.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870" cy="12239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</w:pPr>
    </w:p>
    <w:p>
      <w:pPr>
        <w:pStyle w:val="Cuerpo A"/>
        <w:rPr>
          <w:rStyle w:val="Ninguno A"/>
          <w:sz w:val="26"/>
          <w:szCs w:val="26"/>
        </w:rPr>
      </w:pPr>
    </w:p>
    <w:p>
      <w:pPr>
        <w:pStyle w:val="Cuerpo A"/>
        <w:rPr>
          <w:rStyle w:val="Ninguno A"/>
          <w:sz w:val="26"/>
          <w:szCs w:val="26"/>
        </w:rPr>
      </w:pPr>
    </w:p>
    <w:p>
      <w:pPr>
        <w:pStyle w:val="Cuerpo A"/>
        <w:rPr>
          <w:rStyle w:val="Ninguno A"/>
          <w:sz w:val="26"/>
          <w:szCs w:val="26"/>
        </w:rPr>
      </w:pPr>
    </w:p>
    <w:p>
      <w:pPr>
        <w:pStyle w:val="Por omisión"/>
        <w:spacing w:before="0" w:after="240"/>
        <w:rPr>
          <w:rStyle w:val="Ninguno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CURSO B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SICO DE FIJACI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INTERNA</w:t>
      </w:r>
    </w:p>
    <w:p>
      <w:pPr>
        <w:pStyle w:val="Por omisión"/>
        <w:spacing w:before="0" w:after="240"/>
        <w:rPr>
          <w:rStyle w:val="Ninguno"/>
          <w:sz w:val="28"/>
          <w:szCs w:val="28"/>
          <w:shd w:val="clear" w:color="auto" w:fill="ffffff"/>
        </w:rPr>
      </w:pP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Curso de introducci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de fijaci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interna veterinaria que cubre los principios de curaci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n 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sea, tipos de implantes (placas, tornillos, clavijas, alambres), planificaci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quir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Style w:val="Ninguno"/>
          <w:sz w:val="28"/>
          <w:szCs w:val="28"/>
          <w:shd w:val="clear" w:color="auto" w:fill="ffffff"/>
          <w:rtl w:val="0"/>
          <w:lang w:val="it-IT"/>
        </w:rPr>
        <w:t>rgica, t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>cnicas b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sicas (tornillos de tracci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n, placas, clavijas IM, clavos entrelazados), familiarizaci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con el equipo, biomec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nica, complicaciones y cuidados posoperatorios, combinando teor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sz w:val="28"/>
          <w:szCs w:val="28"/>
          <w:shd w:val="clear" w:color="auto" w:fill="ffffff"/>
          <w:rtl w:val="0"/>
          <w:lang w:val="it-IT"/>
        </w:rPr>
        <w:t>a con pr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ctica en huesos de pl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stico y cad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veres para fracturas simples comunes en huesos largos como f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mur, tibia y radio, generando confianza en la reparaci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b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sica de fracturas. Es un paso previo a otros cursos de formaci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en traumatolog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 xml:space="preserve">a/ortopedia.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it-IT"/>
        </w:rPr>
        <w:t>La teor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a es on-line y las pr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cticas presenciales se realizan para grupos de m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ximo 4 participantes. Una vez inscrito, el participante tendr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á 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a su disposici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enlaces para la parte te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rica y podr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á </w:t>
      </w:r>
      <w:r>
        <w:rPr>
          <w:rStyle w:val="Ninguno"/>
          <w:sz w:val="28"/>
          <w:szCs w:val="28"/>
          <w:shd w:val="clear" w:color="auto" w:fill="ffffff"/>
          <w:rtl w:val="0"/>
          <w:lang w:val="it-IT"/>
        </w:rPr>
        <w:t xml:space="preserve">acceder a 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stas al menos durante dos semanas antes de las pr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cticas y dos semanas posteriores a la realizaci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de las pr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 xml:space="preserve">cticas. </w:t>
      </w:r>
    </w:p>
    <w:p>
      <w:pPr>
        <w:pStyle w:val="Por omisión"/>
        <w:spacing w:before="0" w:after="240"/>
        <w:rPr>
          <w:rStyle w:val="Ninguno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Fechas para las pr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cticas: se proponen varias fechas a los participantes.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b w:val="1"/>
          <w:bCs w:val="1"/>
          <w:sz w:val="28"/>
          <w:szCs w:val="28"/>
          <w:shd w:val="clear" w:color="auto" w:fill="ffffff"/>
          <w:rtl w:val="0"/>
          <w:lang w:val="pt-PT"/>
        </w:rPr>
        <w:t>Programa: Teor</w:t>
      </w:r>
      <w:r>
        <w:rPr>
          <w:rStyle w:val="Ninguno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 xml:space="preserve">a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Principios de fractura: Clasificaci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n, biomec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nica, planificaci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quir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Style w:val="Ninguno"/>
          <w:sz w:val="28"/>
          <w:szCs w:val="28"/>
          <w:shd w:val="clear" w:color="auto" w:fill="ffffff"/>
          <w:rtl w:val="0"/>
          <w:lang w:val="it-IT"/>
        </w:rPr>
        <w:t xml:space="preserve">rgica.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T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>cnicas quir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rgicas: Colocaci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n de clavos, placas (bloqueadas/no bloqueadas) y alambres.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Fracturas espec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ficas: Huesos largos (f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sz w:val="28"/>
          <w:szCs w:val="28"/>
          <w:shd w:val="clear" w:color="auto" w:fill="ffffff"/>
          <w:rtl w:val="0"/>
          <w:lang w:val="da-DK"/>
        </w:rPr>
        <w:t>mur, h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mero, tibia), articulares, fisarias (cart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lago de crecimiento), p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 xml:space="preserve">lvicas. </w:t>
      </w:r>
    </w:p>
    <w:p>
      <w:pPr>
        <w:pStyle w:val="Por omisión"/>
        <w:spacing w:before="0" w:after="240"/>
        <w:rPr>
          <w:rStyle w:val="Ninguno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Uso de implantes: Selecci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n, aplicaci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n, manejo de complicaciones (seudoartrosis, fallo del implante).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Taller pr</w:t>
      </w:r>
      <w:r>
        <w:rPr>
          <w:rStyle w:val="Ninguno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b w:val="1"/>
          <w:bCs w:val="1"/>
          <w:sz w:val="28"/>
          <w:szCs w:val="28"/>
          <w:shd w:val="clear" w:color="auto" w:fill="ffffff"/>
          <w:rtl w:val="0"/>
          <w:lang w:val="it-IT"/>
        </w:rPr>
        <w:t xml:space="preserve">ctico: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D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a 1: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09:30 -10:30: Colocaci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de cerclajes en huesos largos y la t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>cnica de banda de tensi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n.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10:30 - 11:30: Enclavijamiento 11:30 - 12:00: Descanso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12:00 - 13:00: Tornillo de cortical: colocaci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de tornillo en tracci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de-DE"/>
        </w:rPr>
        <w:t xml:space="preserve">n- Lag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>13:00 - 14:00: Placa DCP: colocaci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de tornillos en modo neutral y de compresi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n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lang w:val="pt-PT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 xml:space="preserve">14:00 - 15:30: Descanso para comida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15:30 - 16:30: Placas de bloqueo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16:30 - 17:00: Moldeado de las placas</w:t>
      </w:r>
      <w:r>
        <w:rPr>
          <w:rStyle w:val="Ninguno"/>
          <w:sz w:val="43"/>
          <w:szCs w:val="43"/>
          <w:shd w:val="clear" w:color="auto" w:fill="ffffff"/>
          <w:rtl w:val="0"/>
          <w:lang w:val="es-ES_tradnl"/>
        </w:rPr>
        <w:t xml:space="preserve"> </w:t>
      </w:r>
    </w:p>
    <w:p>
      <w:pPr>
        <w:pStyle w:val="Por omisión"/>
        <w:spacing w:before="0" w:after="240"/>
        <w:rPr>
          <w:rStyle w:val="Ninguno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>17:00 - 18:00: Colocaci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n de placa en fractura diafisaria de f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mur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D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a 2: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09:30 - 11:00: Placa en T en fractura radio distal.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  <w:lang w:val="pt-PT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 xml:space="preserve">11:00 - 11:30: Descanso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11:30 - 13:30: Abordaje quir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rgico de la d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afisis de f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mur y tibia.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>13:30 - 15:00: Descanso para comida.</w:t>
      </w:r>
      <w:r>
        <w:rPr>
          <w:rStyle w:val="Ninguno"/>
          <w:sz w:val="28"/>
          <w:szCs w:val="28"/>
          <w:shd w:val="clear" w:color="auto" w:fill="ffffff"/>
          <w:lang w:val="es-ES_tradnl"/>
        </w:rPr>
        <w:br w:type="textWrapping"/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15:00 - 16:00: Abordaje quir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rgico de la di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fisis del radio.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>16:00 - 17:00: Abordaje quir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rgico de la di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á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fisis del h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Style w:val="Ninguno"/>
          <w:sz w:val="28"/>
          <w:szCs w:val="28"/>
          <w:shd w:val="clear" w:color="auto" w:fill="ffffff"/>
          <w:rtl w:val="0"/>
          <w:lang w:val="it-IT"/>
        </w:rPr>
        <w:t xml:space="preserve">mero.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pt-PT"/>
        </w:rPr>
        <w:t>17:00 - 18.00: Abordaje quir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rgico del cuerpo de ileon. </w:t>
      </w:r>
    </w:p>
    <w:p>
      <w:pPr>
        <w:pStyle w:val="Por omisión"/>
        <w:spacing w:before="0" w:after="240"/>
        <w:rPr>
          <w:rStyle w:val="Ninguno"/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Profesorado: Jos</w:t>
      </w:r>
      <w:r>
        <w:rPr>
          <w:rStyle w:val="Ninguno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Rial Cels, certificado y acreditado AVEPA en traumatolog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sz w:val="28"/>
          <w:szCs w:val="28"/>
          <w:shd w:val="clear" w:color="auto" w:fill="ffffff"/>
          <w:rtl w:val="0"/>
          <w:lang w:val="es-ES_tradnl"/>
        </w:rPr>
        <w:t xml:space="preserve">a y ortopedia. </w:t>
      </w:r>
    </w:p>
    <w:p>
      <w:pPr>
        <w:pStyle w:val="Cuerpo A"/>
        <w:rPr>
          <w:rStyle w:val="Ninguno A"/>
          <w:sz w:val="26"/>
          <w:szCs w:val="26"/>
        </w:rPr>
      </w:pPr>
    </w:p>
    <w:p>
      <w:pPr>
        <w:pStyle w:val="Cuerpo A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Hoja de inscripci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n del curso b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á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sico de fijaci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n interna</w:t>
      </w:r>
    </w:p>
    <w:p>
      <w:pPr>
        <w:pStyle w:val="Cuerpo A"/>
      </w:pPr>
    </w:p>
    <w:p>
      <w:pPr>
        <w:pStyle w:val="Cuerpo A"/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Tarifa: 850</w:t>
      </w:r>
      <w:r>
        <w:rPr>
          <w:rStyle w:val="Ninguno"/>
          <w:sz w:val="24"/>
          <w:szCs w:val="24"/>
          <w:rtl w:val="0"/>
          <w:lang w:val="es-ES_tradnl"/>
        </w:rPr>
        <w:t>€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Participante: 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Nombre: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Apellido: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Email: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Tel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fono: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Datos para facturaci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n:</w:t>
      </w:r>
    </w:p>
    <w:p>
      <w:pPr>
        <w:pStyle w:val="Cuerpo A"/>
        <w:rPr>
          <w:rStyle w:val="Ninguno A"/>
          <w:sz w:val="24"/>
          <w:szCs w:val="24"/>
        </w:rPr>
      </w:pPr>
    </w:p>
    <w:p>
      <w:pPr>
        <w:pStyle w:val="Cuerpo A"/>
        <w:rPr>
          <w:rStyle w:val="Ninguno A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Forma de pago: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Pago directo: mediante transferencia a la cuenta de VETERMED SL: </w:t>
      </w:r>
      <w:r>
        <w:rPr>
          <w:rStyle w:val="Ninguno"/>
          <w:sz w:val="24"/>
          <w:szCs w:val="24"/>
          <w:rtl w:val="0"/>
        </w:rPr>
        <w:t>ES8700494514172110000586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Env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esta hoja rellenada y el justificante de pago con el asunto: tu nombre/ curso fijaci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interna.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Pol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tica de cancelaci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n: Si se cancela por parte del participante, el reembolso ser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del 100% hasta 14 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as antes de la fecha de env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o de los enlaces para la parte te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rica. A partir de ese momento, si se cancela el reembolso ser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del 50%.</w:t>
      </w:r>
    </w:p>
    <w:p>
      <w:pPr>
        <w:pStyle w:val="Cuerpo A"/>
        <w:rPr>
          <w:rStyle w:val="Ninguno A"/>
          <w:sz w:val="24"/>
          <w:szCs w:val="24"/>
        </w:rPr>
      </w:pPr>
    </w:p>
    <w:p>
      <w:pPr>
        <w:pStyle w:val="Por omisión"/>
        <w:spacing w:before="0" w:after="360"/>
      </w:pPr>
      <w:r>
        <w:rPr>
          <w:rStyle w:val="Ninguno"/>
          <w:rFonts w:ascii="Arial Unicode MS" w:hAnsi="Arial Unicode MS" w:hint="default"/>
          <w:outline w:val="0"/>
          <w:color w:val="444444"/>
          <w:u w:color="444444"/>
          <w:shd w:val="clear" w:color="auto" w:fill="ffffff"/>
          <w:rtl w:val="1"/>
          <w:lang w:val="ar-SA" w:bidi="ar-SA"/>
          <w14:textFill>
            <w14:solidFill>
              <w14:srgbClr w14:val="444444"/>
            </w14:solidFill>
          </w14:textFill>
        </w:rPr>
        <w:t>“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En VETERMED SL tratamos la informaci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que nos facilita con el fin de prestarles el servicio solicitado y realizar su facturaci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n. Los datos proporcionados se conservar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mientras se mantenga la relaci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comercial o durante el tiempo necesario para cumplir con las obligaciones legales y atender las posibles responsabilidades que pudieran derivar del cumplimiento de la finalidad para la que los datos fueron recabados. Los datos no se ceder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 terceros salvo en los casos en que exista una obligaci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legal. Usted tiene derecho a obtener informaci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sobre si en VETERMED SL estamos tratando sus datos personales, por lo que puede ejercer sus derechos de acceso, rectificaci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n, supresi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y portabilidad de datos y oposici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y limitaci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 su tratamiento ante VETERMED SL, PTDA HERRERIA 4 BLOQ 2 PLANTA BAJA ED. MARINA NIZA o en la direcci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de correo electr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nico info@ivetermed.com, adjuntando copia de su DNI o documento equivalente. Asimismo, y especialmente si considera que no ha obtenido satisfacci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plena en el ejercicio de sus derechos, podr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á 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presentar una reclamaci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 ante la autoridad nacional de control dirigi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ndose a estos efectos a la Agencia Espa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ola de Protecci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n de Datos, C/ Jorge Juan, 6 </w:t>
      </w:r>
      <w:r>
        <w:rPr>
          <w:rStyle w:val="Ninguno"/>
          <w:rFonts w:ascii="Arial" w:hAnsi="Arial" w:hint="default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 xml:space="preserve">– </w:t>
      </w:r>
      <w:r>
        <w:rPr>
          <w:rStyle w:val="Ninguno"/>
          <w:rFonts w:ascii="Arial" w:hAnsi="Arial"/>
          <w:outline w:val="0"/>
          <w:color w:val="444444"/>
          <w:u w:color="444444"/>
          <w:shd w:val="clear" w:color="auto" w:fill="ffffff"/>
          <w:rtl w:val="0"/>
          <w:lang w:val="es-ES_tradnl"/>
          <w14:textFill>
            <w14:solidFill>
              <w14:srgbClr w14:val="444444"/>
            </w14:solidFill>
          </w14:textFill>
        </w:rPr>
        <w:t>28001 Madrid.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Ninguno A">
    <w:name w:val="Ninguno A"/>
    <w:basedOn w:val="Ninguno"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